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814" w:rsidRPr="00D7307E" w:rsidRDefault="00D7307E">
      <w:pPr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b/>
          <w:sz w:val="24"/>
          <w:szCs w:val="24"/>
          <w:lang w:val="en-US"/>
        </w:rPr>
        <w:t>METHODS OF TAX AVOIDANCE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 the past, two basic strategies (which can be combined) have been mainly used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achieve these ends: increasing the prices of payments and changing the type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payments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To take some simple examples, a local subsidiary operating an assembly plant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pay inflated prices for the components and the technical and management services it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purchases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from related companies; or a nonresident parent company can invest in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subsidiary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by way of loan capital rather than share capital and receive interest payments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(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deductible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the subsidiary) instead of dividends (usually not deductible to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subsidiary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). Similar results can be produced by reducing the amount of payments for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goods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or services to the local branch or subsidiary for goods or services it provides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other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(nonresident) members of the group. Recently, international tax planning has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become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more sophisticated along with the financial markets. The following discussion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will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start with the simpler methods of tax avoidance and then move to more recent</w:t>
      </w:r>
    </w:p>
    <w:p w:rsidR="00D7307E" w:rsidRDefault="00D7307E" w:rsidP="00D7307E">
      <w:pPr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4033FC">
        <w:rPr>
          <w:rFonts w:ascii="TimesNewRomanPSMT" w:hAnsi="TimesNewRomanPSMT" w:cs="TimesNewRomanPSMT"/>
          <w:sz w:val="24"/>
          <w:szCs w:val="24"/>
          <w:lang w:val="en-US"/>
        </w:rPr>
        <w:t>techniques</w:t>
      </w:r>
      <w:proofErr w:type="gramEnd"/>
      <w:r w:rsidRPr="004033FC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</w:pPr>
      <w:r w:rsidRPr="00D7307E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  <w:t>1. Transfer Pricing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“Transfer pricing” is the general term used to refer to the problem of allocating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profits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among the parts of a corporate group. For the group as a whole, all that matters at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end of the day is the after-tax profit of the group rather than of its individual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members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The prices charged within the group for goods or services provided and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financing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methods used between the members of the group simply serve as means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moving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funds around the group and do not in a commercial sense create profits for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group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Hence, there is often no obstacle to charging any price or structuring a transaction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any way within the group, and the fair or proper distribution of the overall group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profits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among the companies in the group is often a secondary consideration to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consequences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. In financial accounting, 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which seeks to determine profits for reporting to</w:t>
      </w:r>
      <w:proofErr w:type="gramEnd"/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shareholders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and others with financial interests in the group, the response is to require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accounts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for the enterprise (group) as a whole and to eliminate transactions within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group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as well as (in most countries) accounts for each company in the group.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 taxation, it is necessary to allocate profits among the companies in the group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because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under international tax norms a country will tax a nonresident only on the profits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sourced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that country. While the country can tax a local (resident) subsidiary on its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profits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worldwide, affairs within a multinational group will usually be arranged so that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subsidiary only has profits sourced in that country. In theory, this allocation of profits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be effected in one of two main ways. A country can take the worldwide profits of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group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and allocate some portion of those profits to a source in that country, thus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bypassing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need to consider the pricing and nature of transactions within the group.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Alternatively, the country can seek to determine the profits of a local branch or subsidiary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separately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from the rest of the group on the basis of the pricing and nature of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transactions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engaged in by the branch or subsidiary with the rest of the group. In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former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case, it is necessary to have allocation rules based on formulary criteria like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relative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assets, revenues, or salaries (and so this method is often referred to as formulary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apportionment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), while in the latter case rules are needed to deal with the problems arising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from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special nature of transactions within the group.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While arguments range back and forth as to which method is preferable,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practical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terms countries pursuing a policy of negotiating tax treaties are automatically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tied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into the separate accounting method because articles 7 and 9 of the OECD and UN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Model treaties operate on the basis of taxing each company within the group separately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dealing with problems of pricing and the nature of transactions on the basis of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arm’s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-length principle. Under this principle, adjustments are made to transactions within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group to reflect the terms and nature of transactions that would have been entered into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if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transaction had been made with an independent third party rather than with another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part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the group.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A drafting issue for the domestic law is that the arm’s-length principle should be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provided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for both branches and subsidiaries. This is most easily done by using language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similar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that found in tax treaties. Such an approach ensures that there is a basis in</w:t>
      </w:r>
    </w:p>
    <w:p w:rsidR="00D7307E" w:rsidRDefault="00D7307E" w:rsidP="00D7307E">
      <w:pPr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domestic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law for making transfer pricing adjustments. In many countries, it is not clear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whether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tax treaties on their own would provide a sufficient basis for such adjustments,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in any event, it is necessary to have the rules in the case of residents of countries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with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which there is no tax treaty in force. Using statutory language based on treaties has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added advantage of giving a clear signal that the country intends to follow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international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norms.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Article 7(4) of the OECD and UN Models provides that a country can maintain 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customary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method of calculating the profits of branches, so long as the result is in accord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with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arm’s-length principle (a further provision in each case provides for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application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the same method from year to year unless there is good reason to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contrary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). Some countries use simplified profit calculation methods for branch cases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(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such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as a specific percentage of turnover of the branch). These methods can be retained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legislation insofar as they reasonably reflect actual profits and can be used in cases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where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tax treaties are involved. The application of the arm’s-length principle to branches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more complex in one way than in the case of subsidiaries, because the branch and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head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office are part of the same legal person, and transactions cannot be sensibly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reconstructed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some cases. For example, it is often difficult to allocate notional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ownership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property between head office and branch.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Simplified methods in domestic legislation are not generally regarded as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consistent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with article 9 of the OECD and UN Models in the case of related companies,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but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this does not mean that countries are confined to making tax adjustments between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related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companies only in international transactions and on arm’s-length principles. Some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apply their transfer pricing rules in purely domestic cases; where there are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different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tax rates for different kinds of income or business, taxpayers can use transfer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pricing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move profits to categories of income or business with lower tax rates. There are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also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 number of reasons why countries may wish to have special pricing rules for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specific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transactions. For example, some countries treat all disposals of property without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consideration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as having been made for market value— whether between related parties 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not—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while others treat gifts of property to charities as having been made for the higher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cost or market value. These rules do not directly deal with transfer pricing issues.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extent that they can apply to international transactions between related parties, they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will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not generally be contrary to tax treaty arm’s-length pricing rules. How all these rules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are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coordinated within the tax legislation depends on the specific rules adopted and</w:t>
      </w:r>
    </w:p>
    <w:p w:rsidR="00D7307E" w:rsidRDefault="00D7307E" w:rsidP="00D7307E">
      <w:pPr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should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be reviewed carefully in each country.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To achieve the application of the international arm’s-length principle in practice,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tax administration starts with the accounts of the local branch or subsidiary, makes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usual adjustments to reflect differences between financial accounting and tax rules,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then makes such further adjustments in accordance with the arm’s-length principle as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necessary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Nontax considerations may lead to the group preparing its branch 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subsidiary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accounts on this basis in any event. For management purposes, the group will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wish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know the real profitability of its separate parts, local employees may be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remunerated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part on the basis of the local contribution to group profit, and local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accounting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rules will likely require that the financial accounts give a proper view of the</w:t>
      </w:r>
    </w:p>
    <w:p w:rsidR="00D7307E" w:rsidRDefault="00D7307E" w:rsidP="00D7307E">
      <w:pPr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profits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the branch or subsidiary. In practice, the tax administration may use simplified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methods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and various financial ratios that are similar to formulary apportionment in order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test whether the profits reported by a local branch or subsidiary fall within acceptable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boundaries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These methods frequently operate as a means of selecting taxpayers for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further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checking (audit). The use of such administrative methods will not be contrary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treaty rules so long as they are being used as a means to the end of establishing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arm’s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-length price.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increasing integration of the activities of corporate groups, the growing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importance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unique intragroup intangibles and services, and the sophistication of their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financing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operations mean, however, that application of the arm’s-length standard 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becoming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more difficult, both conceptually and practically. The problems have been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addressed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part by the OECD, which has updated and expanded its guidance on this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issue.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>125</w:t>
      </w:r>
      <w:proofErr w:type="gramEnd"/>
      <w:r w:rsidRPr="00D7307E">
        <w:rPr>
          <w:rFonts w:ascii="TimesNewRomanPSMT" w:hAnsi="TimesNewRomanPSMT" w:cs="TimesNewRomanPSMT"/>
          <w:sz w:val="16"/>
          <w:szCs w:val="16"/>
          <w:lang w:val="en-US"/>
        </w:rPr>
        <w:t xml:space="preserve">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OECD standards represent the internationally accepted norms giving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content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the arm’s-length principle.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Transfer pricing adjustments on the arm’s-length principle have traditionally been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viewed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as involving price only (as the name suggests) and not the reconstruction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transactions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the sense of disregarding the nominal transaction between the related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parties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and substituting another arrangement for tax purposes. The transfer pricing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guidelines,</w:t>
      </w:r>
      <w:proofErr w:type="gramEnd"/>
      <w:r w:rsidRPr="00D7307E">
        <w:rPr>
          <w:rFonts w:ascii="TimesNewRomanPSMT" w:hAnsi="TimesNewRomanPSMT" w:cs="TimesNewRomanPSMT"/>
          <w:sz w:val="16"/>
          <w:szCs w:val="16"/>
          <w:lang w:val="en-US"/>
        </w:rPr>
        <w:t xml:space="preserve">126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while recognizing that adjusting prices of actual transactions is the norm,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permit tax administrations to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recharacterize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transactions in two exceptional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circumstances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first, “where the economic substance of a transaction differs from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form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” and secondly, where the “arrangements made in relation to the transaction, viewed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their totality, differ from those which would have been adopted by independent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enterprises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behaving in a commercially rational manner and the actual structure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practically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impedes the tax administration from determining an appropriate transfer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price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.”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 xml:space="preserve">127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example of thin capitalization is given for the first category (see next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heading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) and, for the second, the outright transfer of intangible property before its value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fully known when independent parties could have been expected to enter instead into 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continuing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research agreement (under which payments would not be irrevocably fixed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advance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).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Increasingly, countries are enacting general provisions in their tax laws directed</w:t>
      </w:r>
    </w:p>
    <w:p w:rsidR="004033FC" w:rsidRPr="00D7307E" w:rsidRDefault="00D7307E" w:rsidP="004033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against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tax avoidance, which give powers to reconstruct transactions.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 xml:space="preserve">128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It seems to be</w:t>
      </w:r>
      <w:r w:rsidR="004033FC" w:rsidRPr="004033FC">
        <w:rPr>
          <w:rFonts w:cs="TimesNewRomanPSMT"/>
          <w:sz w:val="24"/>
          <w:szCs w:val="24"/>
          <w:lang w:val="en-US"/>
        </w:rPr>
        <w:t xml:space="preserve"> </w:t>
      </w:r>
      <w:r w:rsidR="004033FC" w:rsidRPr="00D7307E">
        <w:rPr>
          <w:rFonts w:ascii="TimesNewRomanPSMT" w:hAnsi="TimesNewRomanPSMT" w:cs="TimesNewRomanPSMT"/>
          <w:sz w:val="24"/>
          <w:szCs w:val="24"/>
          <w:lang w:val="en-US"/>
        </w:rPr>
        <w:t>increasingly accepted by the OECD that such rules are not in conflict with tax treaty</w:t>
      </w:r>
    </w:p>
    <w:p w:rsidR="00D7307E" w:rsidRPr="004033FC" w:rsidRDefault="004033FC" w:rsidP="004033FC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obligations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and can be applied to international transactions.</w:t>
      </w:r>
    </w:p>
    <w:p w:rsidR="004033FC" w:rsidRPr="004033FC" w:rsidRDefault="004033FC" w:rsidP="00D7307E">
      <w:pPr>
        <w:autoSpaceDE w:val="0"/>
        <w:autoSpaceDN w:val="0"/>
        <w:adjustRightInd w:val="0"/>
        <w:spacing w:after="0" w:line="240" w:lineRule="auto"/>
        <w:rPr>
          <w:rFonts w:cs="TimesNewRomanPSMT"/>
          <w:sz w:val="13"/>
          <w:szCs w:val="13"/>
          <w:lang w:val="en-US"/>
        </w:rPr>
      </w:pPr>
    </w:p>
    <w:p w:rsidR="00D7307E" w:rsidRPr="004033FC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  <w:lang w:val="en-US"/>
        </w:rPr>
      </w:pPr>
      <w:r w:rsidRPr="004033FC">
        <w:rPr>
          <w:rFonts w:ascii="TimesNewRomanPSMT" w:hAnsi="TimesNewRomanPSMT" w:cs="TimesNewRomanPSMT"/>
          <w:sz w:val="18"/>
          <w:szCs w:val="18"/>
          <w:lang w:val="en-US"/>
        </w:rPr>
        <w:t>125OECD, Attribution of Income to Permanent Establishments (1994); OECD, Transfer Pricing Guidelines</w:t>
      </w:r>
    </w:p>
    <w:p w:rsidR="00D7307E" w:rsidRPr="004033FC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  <w:lang w:val="en-US"/>
        </w:rPr>
      </w:pPr>
      <w:proofErr w:type="gramStart"/>
      <w:r w:rsidRPr="004033FC">
        <w:rPr>
          <w:rFonts w:ascii="TimesNewRomanPSMT" w:hAnsi="TimesNewRomanPSMT" w:cs="TimesNewRomanPSMT"/>
          <w:sz w:val="18"/>
          <w:szCs w:val="18"/>
          <w:lang w:val="en-US"/>
        </w:rPr>
        <w:t>for</w:t>
      </w:r>
      <w:proofErr w:type="gramEnd"/>
      <w:r w:rsidRPr="004033FC">
        <w:rPr>
          <w:rFonts w:ascii="TimesNewRomanPSMT" w:hAnsi="TimesNewRomanPSMT" w:cs="TimesNewRomanPSMT"/>
          <w:sz w:val="18"/>
          <w:szCs w:val="18"/>
          <w:lang w:val="en-US"/>
        </w:rPr>
        <w:t xml:space="preserve"> Multinational Enterprises and Tax Administrations (1995, updated 1996, 1997). The problem that</w:t>
      </w:r>
    </w:p>
    <w:p w:rsidR="00D7307E" w:rsidRPr="004033FC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  <w:lang w:val="en-US"/>
        </w:rPr>
      </w:pPr>
      <w:proofErr w:type="gramStart"/>
      <w:r w:rsidRPr="004033FC">
        <w:rPr>
          <w:rFonts w:ascii="TimesNewRomanPSMT" w:hAnsi="TimesNewRomanPSMT" w:cs="TimesNewRomanPSMT"/>
          <w:sz w:val="18"/>
          <w:szCs w:val="18"/>
          <w:lang w:val="en-US"/>
        </w:rPr>
        <w:t>transfer</w:t>
      </w:r>
      <w:proofErr w:type="gramEnd"/>
      <w:r w:rsidRPr="004033FC">
        <w:rPr>
          <w:rFonts w:ascii="TimesNewRomanPSMT" w:hAnsi="TimesNewRomanPSMT" w:cs="TimesNewRomanPSMT"/>
          <w:sz w:val="18"/>
          <w:szCs w:val="18"/>
          <w:lang w:val="en-US"/>
        </w:rPr>
        <w:t xml:space="preserve"> pricing currently represents for developing and transition countries is one of administrative</w:t>
      </w:r>
    </w:p>
    <w:p w:rsidR="00D7307E" w:rsidRPr="004033FC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18"/>
          <w:szCs w:val="18"/>
          <w:lang w:val="en-US"/>
        </w:rPr>
      </w:pPr>
      <w:proofErr w:type="gramStart"/>
      <w:r w:rsidRPr="004033FC">
        <w:rPr>
          <w:rFonts w:ascii="TimesNewRomanPSMT" w:hAnsi="TimesNewRomanPSMT" w:cs="TimesNewRomanPSMT"/>
          <w:sz w:val="18"/>
          <w:szCs w:val="18"/>
          <w:lang w:val="en-US"/>
        </w:rPr>
        <w:t>capacity</w:t>
      </w:r>
      <w:proofErr w:type="gramEnd"/>
      <w:r w:rsidRPr="004033FC">
        <w:rPr>
          <w:rFonts w:ascii="TimesNewRomanPSMT" w:hAnsi="TimesNewRomanPSMT" w:cs="TimesNewRomanPSMT"/>
          <w:sz w:val="18"/>
          <w:szCs w:val="18"/>
          <w:lang w:val="en-US"/>
        </w:rPr>
        <w:t>. The development of advance pricing arrangements with the encouragement of the OECD (</w:t>
      </w:r>
      <w:r w:rsidRPr="004033FC">
        <w:rPr>
          <w:rFonts w:ascii="TimesNewRomanPS-ItalicMT" w:hAnsi="TimesNewRomanPS-ItalicMT" w:cs="TimesNewRomanPS-ItalicMT"/>
          <w:i/>
          <w:iCs/>
          <w:sz w:val="18"/>
          <w:szCs w:val="18"/>
          <w:lang w:val="en-US"/>
        </w:rPr>
        <w:t>see</w:t>
      </w:r>
    </w:p>
    <w:p w:rsidR="00D7307E" w:rsidRPr="004033FC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  <w:lang w:val="en-US"/>
        </w:rPr>
      </w:pPr>
      <w:proofErr w:type="gramStart"/>
      <w:r w:rsidRPr="004033FC">
        <w:rPr>
          <w:rFonts w:ascii="TimesNewRomanPS-ItalicMT" w:hAnsi="TimesNewRomanPS-ItalicMT" w:cs="TimesNewRomanPS-ItalicMT"/>
          <w:i/>
          <w:iCs/>
          <w:sz w:val="18"/>
          <w:szCs w:val="18"/>
          <w:lang w:val="en-US"/>
        </w:rPr>
        <w:t>infra</w:t>
      </w:r>
      <w:proofErr w:type="gramEnd"/>
      <w:r w:rsidRPr="004033FC">
        <w:rPr>
          <w:rFonts w:ascii="TimesNewRomanPS-ItalicMT" w:hAnsi="TimesNewRomanPS-ItalicMT" w:cs="TimesNewRomanPS-ItalicMT"/>
          <w:i/>
          <w:iCs/>
          <w:sz w:val="18"/>
          <w:szCs w:val="18"/>
          <w:lang w:val="en-US"/>
        </w:rPr>
        <w:t xml:space="preserve"> </w:t>
      </w:r>
      <w:r w:rsidRPr="004033FC">
        <w:rPr>
          <w:rFonts w:ascii="TimesNewRomanPSMT" w:hAnsi="TimesNewRomanPSMT" w:cs="TimesNewRomanPSMT"/>
          <w:sz w:val="18"/>
          <w:szCs w:val="18"/>
          <w:lang w:val="en-US"/>
        </w:rPr>
        <w:t>note 160) may simplify the administrative task of transition and developing countries in the future by</w:t>
      </w:r>
    </w:p>
    <w:p w:rsidR="00D7307E" w:rsidRPr="004033FC" w:rsidRDefault="00D7307E" w:rsidP="00D7307E">
      <w:pPr>
        <w:rPr>
          <w:rFonts w:ascii="TimesNewRomanPSMT" w:hAnsi="TimesNewRomanPSMT" w:cs="TimesNewRomanPSMT"/>
          <w:sz w:val="18"/>
          <w:szCs w:val="18"/>
          <w:lang w:val="en-US"/>
        </w:rPr>
      </w:pPr>
      <w:proofErr w:type="gramStart"/>
      <w:r w:rsidRPr="004033FC">
        <w:rPr>
          <w:rFonts w:ascii="TimesNewRomanPSMT" w:hAnsi="TimesNewRomanPSMT" w:cs="TimesNewRomanPSMT"/>
          <w:sz w:val="18"/>
          <w:szCs w:val="18"/>
          <w:lang w:val="en-US"/>
        </w:rPr>
        <w:t>supplying</w:t>
      </w:r>
      <w:proofErr w:type="gramEnd"/>
      <w:r w:rsidRPr="004033FC">
        <w:rPr>
          <w:rFonts w:ascii="TimesNewRomanPSMT" w:hAnsi="TimesNewRomanPSMT" w:cs="TimesNewRomanPSMT"/>
          <w:sz w:val="18"/>
          <w:szCs w:val="18"/>
          <w:lang w:val="en-US"/>
        </w:rPr>
        <w:t xml:space="preserve"> readily applicable formulas for various economic sectors.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16"/>
          <w:szCs w:val="16"/>
          <w:lang w:val="en-US"/>
        </w:rPr>
        <w:t xml:space="preserve">129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While such rules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conjunction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with transfer pricing rules expressed in the general terms suggested above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deal with many problem situations, they can leave taxpayers uncertain as to their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position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Accordingly, countries are increasingly enacting more specific provisions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deal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with particular cases and to spell out the rules in more detail, as, shown for example,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under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next heading.</w:t>
      </w:r>
    </w:p>
    <w:p w:rsidR="004033FC" w:rsidRDefault="004033FC" w:rsidP="00D7307E">
      <w:pPr>
        <w:autoSpaceDE w:val="0"/>
        <w:autoSpaceDN w:val="0"/>
        <w:adjustRightInd w:val="0"/>
        <w:spacing w:after="0" w:line="240" w:lineRule="auto"/>
        <w:rPr>
          <w:rFonts w:cs="TimesNewRomanPS-BoldItalicMT"/>
          <w:b/>
          <w:bCs/>
          <w:i/>
          <w:iCs/>
          <w:sz w:val="24"/>
          <w:szCs w:val="24"/>
        </w:rPr>
      </w:pP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</w:pPr>
      <w:r w:rsidRPr="00D7307E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  <w:t>2. Thin Capitalization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Thin capitalization is the practice of excessively funding a branch or subsidiary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with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interest-bearing loans from related parties rather than with share capital.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 xml:space="preserve">130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fact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that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interest is usually deductible for the borrower and taxed to the nonresident lender at 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low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rate of withholding tax (or not at all in some cases) while in most cases company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profits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funding dividends are fully taxed makes the practice attractive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taxwise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nonresident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investor. Although it is possible to deal with these problems under the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arm’slength</w:t>
      </w:r>
      <w:proofErr w:type="spellEnd"/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principle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taxpayers and tax administrators often want more guidance on the level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of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permissible loan funding for a subsidiary than to be told that related party loans can be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made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up to the point and on the terms that an independent third-party lender would allow,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having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regard to the other liabilities of the subsidiary. Thin capitalization rules seek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deal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with this problem by denying deductions for interest in defined cases (and possibly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spellStart"/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recharacterizing</w:t>
      </w:r>
      <w:proofErr w:type="spellEnd"/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payments of interest as dividends).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 law provisions in this area can be drafted in a large variety of ways. One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important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constraint is the nondiscrimination article in tax treaties. In its typical OECD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UN form, this article overrides thin capitalization rules that apply only to payments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interest to related nonresidents by resident enterprises or by branches of nonresidents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unless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rules are applied in accordance with arm’s-length principles. Another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constraint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arises from tax administration concerns. If loans by certain lenders only, such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related nonresidents, are affected by the rules, it is possible to get around this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limitation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through back-to-back loans.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 xml:space="preserve">131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Rules can be drafted to deem such loans to have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been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made by the parent company—and so subject to the thin capitalization limits—but it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very difficult for the tax administration in the country of the subsidiary to detect such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transactions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especially if the bank is located in a country with strict bank secrecy laws.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One possible solution to problems of this kind is to make the rules generally applicable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all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loans for which interest deductions are claimed. Hence, although the specific problem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arises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the context of foreign direct investment, the solution for practical reasons may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across the board for all investment.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7307E">
        <w:rPr>
          <w:rFonts w:ascii="TimesNewRomanPSMT" w:hAnsi="TimesNewRomanPSMT" w:cs="TimesNewRomanPSMT"/>
          <w:sz w:val="13"/>
          <w:szCs w:val="13"/>
          <w:lang w:val="en-US"/>
        </w:rPr>
        <w:t>129</w:t>
      </w:r>
      <w:r w:rsidRPr="00D7307E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 xml:space="preserve">See </w:t>
      </w:r>
      <w:r w:rsidRPr="00D7307E">
        <w:rPr>
          <w:rFonts w:ascii="TimesNewRomanPSMT" w:hAnsi="TimesNewRomanPSMT" w:cs="TimesNewRomanPSMT"/>
          <w:sz w:val="20"/>
          <w:szCs w:val="20"/>
          <w:lang w:val="en-US"/>
        </w:rPr>
        <w:t>OECD, Taxation of New Financial Instruments (1994) and the resulting change to the Commentary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on</w:t>
      </w:r>
      <w:proofErr w:type="gram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art. </w:t>
      </w:r>
      <w:proofErr w:type="gram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11 of the OECD Model in 1995 </w:t>
      </w:r>
      <w:proofErr w:type="spell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para</w:t>
      </w:r>
      <w:proofErr w:type="spell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.</w:t>
      </w:r>
      <w:proofErr w:type="gram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21.1; David Ward, </w:t>
      </w:r>
      <w:r w:rsidRPr="00D7307E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>Abuse of Tax Treaties</w:t>
      </w:r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, </w:t>
      </w:r>
      <w:r w:rsidRPr="00D7307E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 xml:space="preserve">in </w:t>
      </w:r>
      <w:r w:rsidRPr="00D7307E">
        <w:rPr>
          <w:rFonts w:ascii="TimesNewRomanPSMT" w:hAnsi="TimesNewRomanPSMT" w:cs="TimesNewRomanPSMT"/>
          <w:sz w:val="20"/>
          <w:szCs w:val="20"/>
          <w:lang w:val="en-US"/>
        </w:rPr>
        <w:t>Essays on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International Taxation in Honor of Sidney Roberts 397 (Herbert Alpert &amp; </w:t>
      </w:r>
      <w:proofErr w:type="spell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Kees</w:t>
      </w:r>
      <w:proofErr w:type="spell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van </w:t>
      </w:r>
      <w:proofErr w:type="spell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Raad</w:t>
      </w:r>
      <w:proofErr w:type="spell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eds. 1993).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7307E">
        <w:rPr>
          <w:rFonts w:ascii="TimesNewRomanPSMT" w:hAnsi="TimesNewRomanPSMT" w:cs="TimesNewRomanPSMT"/>
          <w:sz w:val="13"/>
          <w:szCs w:val="13"/>
          <w:lang w:val="en-US"/>
        </w:rPr>
        <w:t>130</w:t>
      </w:r>
      <w:r w:rsidRPr="00D7307E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 xml:space="preserve">See generally </w:t>
      </w:r>
      <w:r w:rsidRPr="00D7307E">
        <w:rPr>
          <w:rFonts w:ascii="TimesNewRomanPSMT" w:hAnsi="TimesNewRomanPSMT" w:cs="TimesNewRomanPSMT"/>
          <w:sz w:val="20"/>
          <w:szCs w:val="20"/>
          <w:lang w:val="en-US"/>
        </w:rPr>
        <w:t>International Fiscal Association, International Aspects of Thin Capitalization, 81b Cahiers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de</w:t>
      </w:r>
      <w:proofErr w:type="gram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</w:t>
      </w:r>
      <w:proofErr w:type="spell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droit</w:t>
      </w:r>
      <w:proofErr w:type="spell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fiscal international (1996).</w:t>
      </w:r>
    </w:p>
    <w:p w:rsidR="00D7307E" w:rsidRDefault="00D7307E" w:rsidP="00D7307E">
      <w:pPr>
        <w:rPr>
          <w:rFonts w:ascii="TimesNewRomanPSMT" w:hAnsi="TimesNewRomanPSMT" w:cs="TimesNewRomanPSMT"/>
          <w:sz w:val="20"/>
          <w:szCs w:val="20"/>
          <w:lang w:val="en-US"/>
        </w:rPr>
      </w:pPr>
      <w:r w:rsidRPr="00D7307E">
        <w:rPr>
          <w:rFonts w:ascii="TimesNewRomanPSMT" w:hAnsi="TimesNewRomanPSMT" w:cs="TimesNewRomanPSMT"/>
          <w:sz w:val="13"/>
          <w:szCs w:val="13"/>
          <w:lang w:val="en-US"/>
        </w:rPr>
        <w:t>131</w:t>
      </w:r>
      <w:r w:rsidRPr="00D7307E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 xml:space="preserve">See supra </w:t>
      </w:r>
      <w:r w:rsidRPr="00D7307E">
        <w:rPr>
          <w:rFonts w:ascii="TimesNewRomanPSMT" w:hAnsi="TimesNewRomanPSMT" w:cs="TimesNewRomanPSMT"/>
          <w:sz w:val="20"/>
          <w:szCs w:val="20"/>
          <w:lang w:val="en-US"/>
        </w:rPr>
        <w:t>text accompanying notes 92–93.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Further issues relate to the way in which the denial of interest deductions 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calculated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One common approach is to provide express ratios of loan capital to share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capital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beyond which interest deductions are denied (debt to equity rules).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 xml:space="preserve">132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Another 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limit interest deductions by reference to a proportion of the income of the taxpayer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(earnings-stripping rules).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 xml:space="preserve">133 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What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appropriate financial ratios are in each case is also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issue (anywhere between 1.5:1 and 3:1 being common for debt-equity rules) as is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application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the rules to financial institutions whose business consists in borrowing 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lending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and which typically operate at much higher debt levels than other businesses.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following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draft suggests a possible approach to these issues.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1. A taxpayer, other than a bank or a financial institution, is denied a deduction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for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interest in excess of the product of three times the net income-producing assets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taxpayer 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(a) 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case of a loan denominated in the currency of </w:t>
      </w:r>
      <w:r w:rsidRPr="00D7307E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>X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110 percent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interest rate charged on loans by the Central Bank of </w:t>
      </w:r>
      <w:r w:rsidRPr="00D7307E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 xml:space="preserve">X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to commercial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banks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on the last day of the preceding tax year; 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(b) 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case of a loan denominated in a foreign currency, 110 percent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interest rate charged by the U.S. Federal Reserve on U.S. dollar loans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U.S. banks on the last day of the preceding tax year.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2. The net income-producing assets of a taxpayer are assets giving rise to income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that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is included in the gross income of the taxpayer less liabilities relating to those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assets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each averaged between the beginning and end of the tax year.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3. With the prior written permission of the tax administration, a taxpayer may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(a) 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calculate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net income-producing assets on an alternative basis; 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(b) 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case of a loan denominated in a foreign currency other than U.S.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dollars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use a different interest rate based on the interbank rate of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central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bank responsible for that currency.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4. Any excess interest that is not allowed as a deduction in a tax year solely as 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result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the application of this provision is treated as interest expense of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taxpayer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the following tax year.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Paragraph (1) limits the interest deduction to an amount obtained by multiplying 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specified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interest rate and three times the net income-producing assets (equity) of the</w:t>
      </w:r>
    </w:p>
    <w:p w:rsidR="00D7307E" w:rsidRDefault="00D7307E" w:rsidP="00D7307E">
      <w:pPr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taxpayer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. This draft thus provides effectively a 3:1 debt-equity ratio.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limitation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in</w:t>
      </w:r>
      <w:proofErr w:type="spellEnd"/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terms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related parties or nonresidents is contained in the provision for reasons already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given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Banks and other financial institutions are excluded from the provision altogether,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but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it would be possible to specify an alternative ratio for this case based on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prudential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rules of the central bank for commercial banks. Rather than specifying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amount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loans on which interest is deductible, which is the approach many countries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take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the provision directly calculates the amount of interest. This method has two effects.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It eliminates the need to calculate the amount of loans, which can be complicated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certain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cases, and deals with the problem of excessive interest rates being charged on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loans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between related parties rather than leaving this as a separate issue for the transfer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pricing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rules. If an explicit rule is to be provided for thin capitalization, it may as well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spell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out all the elements.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interest rate is specified in paragraph 1 using the base rate charged by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central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bank at the end of the previous tax year. The provision deals with loans in foreign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currency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by setting an interest rate based on the international reserve currency, the U.S.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dollar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but also permits in paragraph 4 the use of other (major) currencies with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permission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the tax administration. Whether a reference to foreign currency 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necessary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depends on the rules adopted for dealing with foreign currency in the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legislation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which are discussed in chapter 16. If, for example, foreign currency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conversions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are dealt with by recalculating foreign currency assets and obligations at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end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each tax year, giving rise to income or expense accordingly, then no rule for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foreign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currency is necessary in this provision. The interest rate is set by reference to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end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the previous tax year so that taxpayers know the operative rate at the beginning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relevant tax year. The central bank rate is marked up by one-tenth on the assumption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that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most borrowers will not be able to obtain funding at central bank rates.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net-income producing assets of the taxpayer are defined to include only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assets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that give rise to income that enters the calculation of taxable income. It is assumed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this draft that interest will be deductible only to the extent that it relates to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production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income included in the calculation of taxable income, which is not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position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all countries. Generally, the calculation is effectively the total assets less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liabilities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averaged between the beginning and end of the year. For resident companies,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capital and retained profits in the tax balance sheet are effectively equivalent to assets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less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liabilities (assuming there are no major categories of exempt income for such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companies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such as foreign business income). Individuals will often not have a balance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sheet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as such, and so the calculations of assets less liabilities needs to be made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specifically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for each case. For nonresidents, only assets giving rise to income sourced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country and taxed on a net basis after deductions enter the calculation along with their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accompanying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liabilities. Given that many countries employ final gross withholding taxes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income of nonresidents, except for income from real property and business (see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above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), the loans to which the rules apply for nonresidents are likely to be limited.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Where the income-producing assets are shares, the appropriate treatment can be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more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complicated. Although dividend income is taxed in some countries at a final rate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on a gross basis for resident and nonresident shareholders, shares should be included</w:t>
      </w:r>
    </w:p>
    <w:p w:rsidR="00D7307E" w:rsidRDefault="00D7307E" w:rsidP="00D7307E">
      <w:pPr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for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purpose of this draft if interest expenses relating to such income will be allowed as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deduction. It is possible, for example, for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intercorporate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dividends to be exempted so as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eliminate the cascade of company taxation through chains of companies, but for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interest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expenses relating to the dividend income to be deductible. The rules here need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coordinated with the interrelationship of the taxation of dividends and the allowance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interest deductions relating to dividend income, but beyond this general caution it 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not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possible to be specific.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tax administration may give permission under this draft to vary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calculation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net income-producing assets where the calculations required above are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difficult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apply in the particular circumstances of the taxpayer. Interest disallowed as 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deduction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under this draft is not permanently disallowed but is carried forward 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treated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as an interest deduction of the succeeding year. The same calculation is then done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for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that succeeding year under this draft, and it may turn out that the interest deduction 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allowed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that year. The disallowed interest is not treated as a dividend or some other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form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payment. Country practices vary widely on this aspect of thin capitalization.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Where countries also have general rules relating to characterization of investments as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share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capital or loans, it will be necessary to consider how those rules should be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coordinated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with the thin capitalization area. Tax treaties also have standard definitions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interest and dividends that do not provide clear guidance in the thin capitalization area.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OECD Commentaries seem to indicate that it is permitted but not obligatory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proofErr w:type="spellStart"/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recharacterize</w:t>
      </w:r>
      <w:proofErr w:type="spellEnd"/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interest that is disallowed under thin capitalization rules as dividends.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>134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carryover of interest deductions in the draft will need to be coordinated with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general carryover of losses in the tax legislation, although coordination is likely to be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automatic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The general rule for loss carryover is likely to apply only to deductions that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are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allowed in a particular tax year and that exceed income; because interest in excess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permitted amount under this draft for a particular tax year is not allowed as 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deduction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that year, it cannot enter such a carryover loss.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While a number of detailed issues would require elaboration in the practical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application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the draft (e.g., the identification and valuation of assets and liabilities that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are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used in the c</w:t>
      </w:r>
      <w:bookmarkStart w:id="0" w:name="_GoBack"/>
      <w:bookmarkEnd w:id="0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alculation of net income-producing assets), what the draft conspicuously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fails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do is to define “interest.” The reason is that, with the advent of modern financial</w:t>
      </w:r>
    </w:p>
    <w:p w:rsidR="00D7307E" w:rsidRPr="004033FC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instruments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, interest is an increasingly difficult concept. </w:t>
      </w:r>
      <w:r w:rsidRPr="004033FC">
        <w:rPr>
          <w:rFonts w:ascii="TimesNewRomanPSMT" w:hAnsi="TimesNewRomanPSMT" w:cs="TimesNewRomanPSMT"/>
          <w:sz w:val="24"/>
          <w:szCs w:val="24"/>
          <w:lang w:val="en-US"/>
        </w:rPr>
        <w:t>We turn now to these</w:t>
      </w:r>
    </w:p>
    <w:p w:rsidR="00D7307E" w:rsidRDefault="00D7307E" w:rsidP="00D7307E">
      <w:pPr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4033FC">
        <w:rPr>
          <w:rFonts w:ascii="TimesNewRomanPSMT" w:hAnsi="TimesNewRomanPSMT" w:cs="TimesNewRomanPSMT"/>
          <w:sz w:val="24"/>
          <w:szCs w:val="24"/>
          <w:lang w:val="en-US"/>
        </w:rPr>
        <w:t>instruments</w:t>
      </w:r>
      <w:proofErr w:type="gramEnd"/>
      <w:r w:rsidRPr="004033FC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r w:rsidRPr="00D7307E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  <w:t>3. Modern Financial Instruments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>135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previous heading left open the definition of interest, that is,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characterization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payments as interest or something else. Other issues that have to be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considered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the international domain are the source rules, nonresident withholding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and deductions available to the payer for payments under modern financial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instruments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The specific focus of the discussion for the moment is direct investment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involving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related parties.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Because of the complexity of these issues, OECD countries are still searching for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solutions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Hence, it is impossible to provide widely accepted methods that may be of use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developing and transition countries, but it is possible to suggest some partial solutions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note the problems that remain. The solutions that are adopted will need to be closely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related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the more general question of how modern financial instruments are dealt with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purely domestic cases to ensure that the domestic and international regimes are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consistent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If a narrow definition of interest is adopted in domestic tax law (which is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typical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case where new financial instruments have not been specifically addressed in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system), then it will be a simple matter for the taxpayer to use some financial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instrument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that does not generate interest but that is a functional equivalent so as to avoid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rules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that refer to interest. For example, an interest swap arrangement can be structured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equivalent of a loan, but swap payments are not regarded as interest in many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(An interest rate swap is a financial transaction in which two parties agree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make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streams of payments to each other calculated by reference to an underlying 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notional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principal amount; in its simplest form, it involves an agreement between two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parties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make each other’s interest payments on their respective loans.) In this case, any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attempt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deal with thin capitalization will be aborted unless some general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antiavoidance</w:t>
      </w:r>
      <w:proofErr w:type="spellEnd"/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rule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is applied to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recharacterize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payment as interest in the particular circumstances.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If a broad definition of interest is adopted to deal with this and similar problems (such as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payment or accrual under a financial arrangement widely defined), then it 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necessary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adapt the source, withholding, deduction, and related party rules to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broader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scope. One particular problem arises from the fact that tax consequences—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inclusions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income or deductions—under regimes dealing with modern financial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instruments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often occur on an accrual basis (i.e., on an internal-rate-of-return calculation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 mark-to-market rule) without any actual payment. Lack of a payment poses problems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for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withholding taxes, for example.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Take the relatively straightforward case of a zero coupon bond where the issuer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receives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$100,000 on issue and undertakes to pay $161,051 on redemption of the bond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five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years. This transaction is the equivalent of a five-year loan of $100,000 at 10 percent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7307E">
        <w:rPr>
          <w:rFonts w:ascii="TimesNewRomanPSMT" w:hAnsi="TimesNewRomanPSMT" w:cs="TimesNewRomanPSMT"/>
          <w:sz w:val="13"/>
          <w:szCs w:val="13"/>
          <w:lang w:val="en-US"/>
        </w:rPr>
        <w:t>135</w:t>
      </w:r>
      <w:r w:rsidRPr="00D7307E">
        <w:rPr>
          <w:rFonts w:ascii="TimesNewRomanPSMT" w:hAnsi="TimesNewRomanPSMT" w:cs="TimesNewRomanPSMT"/>
          <w:sz w:val="20"/>
          <w:szCs w:val="20"/>
          <w:lang w:val="en-US"/>
        </w:rPr>
        <w:t>For a general discussion of domestic and international issues, see OECD, Taxation of New Financial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7307E">
        <w:rPr>
          <w:rFonts w:ascii="TimesNewRomanPSMT" w:hAnsi="TimesNewRomanPSMT" w:cs="TimesNewRomanPSMT"/>
          <w:sz w:val="20"/>
          <w:szCs w:val="20"/>
          <w:lang w:val="en-US"/>
        </w:rPr>
        <w:t>Instruments (1994), International Fiscal Association, Tax Aspects of Derivative Financial Instruments 836,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Cahiers de </w:t>
      </w:r>
      <w:proofErr w:type="spell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droit</w:t>
      </w:r>
      <w:proofErr w:type="spell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fiscal international (1995); and Australian Treasury and Australian Taxation Office,</w:t>
      </w:r>
    </w:p>
    <w:p w:rsidR="00D7307E" w:rsidRDefault="00D7307E" w:rsidP="00D7307E">
      <w:pPr>
        <w:rPr>
          <w:rFonts w:ascii="TimesNewRomanPSMT" w:hAnsi="TimesNewRomanPSMT" w:cs="TimesNewRomanPSMT"/>
          <w:sz w:val="20"/>
          <w:szCs w:val="20"/>
          <w:lang w:val="en-US"/>
        </w:rPr>
      </w:pPr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Taxation of Financial Arrangements, </w:t>
      </w:r>
      <w:proofErr w:type="gram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An</w:t>
      </w:r>
      <w:proofErr w:type="gram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Issues Paper (1996).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annual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compound interest with interest payment only on redemption. In a number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this transaction would be treated as giving rise to interest income 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deductions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a purely domestic case for the five tax years of $10,000, $11,000, $12,100,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$13,310, and $14,641, respectively.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If the holder of the bond is a nonresident, it 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difficult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collect tax annually because there is no payment to subject to withholding tax,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although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it is possible to require the issuer to pay tax annually as if a payment had been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made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If nonresident withholding tax is postponed until the end of the five-year period,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nonresident may sell the bond to a resident before redemption and avoid the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(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assuming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that there is no final interest withholding tax on payments to residents). If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collected from the issuer annually and the nonresident sells the bond to another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nonresident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the buyer and seller will have to be aware that the issuer has been paying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take account of the tax in the pricing of the bond; if the buyer and seller are resident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different countries, the issuer may have to adjust the amount of tax withheld after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sale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because of different tax rate limits in the tax treaties involved.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Mechanical solutions can be devised to deal with the problems of withholding 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timing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deductions, for example, levying the nonresident withholding tax only on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payment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and postponing deduction for the issuer until that time. These solutions usually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bring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with them practical enforcement problems and borderline issues where different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regimes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are being applied in different cases. What, for example, is the effect on accrued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deductions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and inclusions in income in this case where the nonresident transfers the bond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 resident and an accrual system is in place between residents? Not surprisingly, even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relatively simple case of a zero coupon bond, there is little agreement as to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appropriate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international tax regime and a large amount of diversity in practice. Some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do not even assimilate such a payment to interest, let alone deal with timing 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withholding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issues.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For more sophisticated instruments, such as interest rate swaps and currency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hedges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, withholding tax can make legitimate transactions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uncommercial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for reasons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similar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those discussed above in relation to interest withholding taxes on ordinary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loans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Many countries have therefore not extended their interest withholding tax to these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cases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This limitation creates a relatively simple way to avoid withholding tax, especially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between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related parties. If, in response to this problem, withholding taxes on new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financial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instruments are directed to transactions between related parties, problems arise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with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back-to-back transactions.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>136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As to source of income, it is possible to create special rules for payments under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new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financial instruments, even if the payments are not characterized as interest. Without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special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source rules or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recharacterization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as interest so that the interest rule applies,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source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rules for whatever category the payments are placed in will govern (e.g., business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income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or capital gains), which may allow nonresident parties to avoid source tax on</w:t>
      </w:r>
    </w:p>
    <w:p w:rsidR="00D7307E" w:rsidRDefault="00D7307E" w:rsidP="00D7307E">
      <w:pPr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what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is equivalent to interest by manipulating the source rules.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Modern financial instruments may also allow parties, especially by combining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different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instruments, to make an equity position look like debt and vice versa. In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international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context, this could lead to substantial erosion of the corporate tax base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relation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subsidiaries in developing and transition countries for what is essentially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equity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investment. The thin capitalization discussion above dealt with this problem in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case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related parties, where, what is pure debt in a formal sense can be viewed in effect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share capital because no independent third party would have made a loan in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situation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Modern financial instruments open this position up more generally even for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portfolio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investors (see below) and allow related parties in many cases to escape thin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capitalization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rules.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 treaties further complicate the international situation because they were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framed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before the era of financial innovation and use traditional categories. The OECD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Commentary on the interest article was recently changed to clarify the issue as follows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: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>137</w:t>
      </w:r>
      <w:proofErr w:type="gramEnd"/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The definition of interest in the first sentence of </w:t>
      </w:r>
      <w:proofErr w:type="spell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para</w:t>
      </w:r>
      <w:proofErr w:type="spell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.</w:t>
      </w:r>
      <w:proofErr w:type="gram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3 does not normally apply to payments made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under</w:t>
      </w:r>
      <w:proofErr w:type="gram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certain kinds of nontraditional financial instruments where there is no underlying debt (for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example</w:t>
      </w:r>
      <w:proofErr w:type="gram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, interest rate swaps). However, the definition will apply to the extent that a loan 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considered</w:t>
      </w:r>
      <w:proofErr w:type="gram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to exist under a “substance over form” rule, an “abuse of rights” principle, or any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similar</w:t>
      </w:r>
      <w:proofErr w:type="gram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doctrine.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The import of this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para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seems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be that hedges and swaps will not be regarded as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giving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rise to interest, except when a transaction has been deliberately manipulated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substitute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 future or a swap for what would otherwise have been a normal borrowing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operation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and when domestic law has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recharacterized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transaction to give rise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interest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under an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antiavoidance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measure. Although the Commentary does not say so,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payments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discounts under zero-coupon bonds seem to be accepted as interest for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purposes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tax treaties. The result is that many payments under modern financial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instruments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nonresidents will be characterized as business profits, capital gains, 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other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income, and, for treaties in OECD Model form, the result is that the source country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will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not be able to levy tax unless the payments are connected with a permanent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establishment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the nonresident in the country. To partially address concerns in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related-party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area, the OECD Commentary on article 21 has also been revised to include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suggested treaty provision that will allow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recharacterization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payments in this kind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case.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>138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Against this complex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backgound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what action can a developing or transition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take to protect itself against the sophistication of modern financial markets 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multinational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enterprises? A number of factors suggest a focus on the deduction area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form of a general thin capitalization rule, combined with a comprehensive definition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interest for the purposes of the rule to catch all payments under modern financial</w:t>
      </w:r>
    </w:p>
    <w:p w:rsid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instruments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the extent they would otherwise be deductible.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First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approach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not</w:t>
      </w:r>
      <w:proofErr w:type="spellEnd"/>
    </w:p>
    <w:p w:rsidR="00D7307E" w:rsidRDefault="00D7307E" w:rsidP="00D7307E">
      <w:pPr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contrary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tax treaties, whereas the scope for action in the withholding area is clearly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limited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by treaties; second, back-to-back problems with related parties can be avoided;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third, the problem of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chacterization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between debt and equity in relation to direct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investors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is addressed. How the definition of interest is framed for this purpose will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depend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on whether the country has comprehensive rules dealing with modern financial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instruments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for general domestic purposes, in which case definitions from that regime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can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be adopted. Experience to date suggests that a definition framed in general terms 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preferable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a list of the kinds of instruments that are covered, given that the number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available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instruments increases daily.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As regards withholding tax and source rules, the tax treaty position means that all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that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can be done directly is to maintain the traditional withholding tax on interest 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consider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extending it to zero-coupon bonds and similar instruments, although a number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technical problems will arise in doing so, as discussed above. The extract quoted from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OECD Commentary above strengthens the case for including a general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antiavoidance</w:t>
      </w:r>
      <w:proofErr w:type="spellEnd"/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provision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domestic law so that it can be applied (especially in the case of related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parties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) to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recharacterize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payments under modern financial instruments as interest 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subject them to the interest withholding tax accordingly. Back-to-back transactions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may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make the involvement of related parties difficult to detect, but the possibility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applying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antiavoidance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provision and any resulting penalties may provide an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incentive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for related parties to fund local branches and subsidiaries by ordinary loans up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limit permitted by the thin capitalization rules and to pay withholding tax on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resulting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interest, thus limiting the problems.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</w:pPr>
      <w:r w:rsidRPr="00D7307E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  <w:t>4. Payments to Tax Havens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Where an industrial country resident makes a direct investment in a subsidiary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developing or transition country, the residence country of the parent will be operating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either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an exemption system or a foreign tax credit system to relieve double taxation. At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first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sight it seems, in an exemption system, that there is no residence country concern if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income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is shifted out of the source country to the residence country because the income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will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be exempt. This, however, is not the outcome. If the profit shifting involves transfer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pricing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whereby the parent charges inflated prices for the goods or services that it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provides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the subsidiary, the increase in the parent’s profits will be taxable in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residence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country. This result follows because the profits will not usually be regarded as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income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sourced in the source country that attracts the exemption but rather as an increase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income sourced in the residence country (e.g., increased manufacturing profit) and so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there.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Similarly, if thin capitalization of the subsidiary by the parent is used to shift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profits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out of the source country, the interest received will probably not be exempt to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parent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because the exemption usually extends only to business profits of a branch 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dividends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on direct investments in subsidiaries, and not to interest taxed by low-rate gross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withholding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the source country (especially where the tax rate has been limited by a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treaty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). While there may be reasons why a parent company would find it advantageous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shift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profits from the source country to the residence country (such as an imputation</w:t>
      </w:r>
    </w:p>
    <w:p w:rsidR="00D7307E" w:rsidRDefault="00D7307E" w:rsidP="00D7307E">
      <w:pPr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system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that country that bases tax credits to shareholders on residence country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paid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), often this form of profit shifting will effect little tax saving. In a residence country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operating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 foreign tax credit system, shifting profits out of the source country to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residence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country as a means of lowering tax in the source country will usually lead to 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corresponding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increase in residence country taxation.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Accordingly, tax planning by multinational company groups is likely to be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directed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simultaneously to reducing source country and residence country taxation, which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means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many cases that a third country needs to be found to which the profits can be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shifted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Tax havens will be used for this end. In the transfer pricing case, one possibility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would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be for the parent company to sell the goods to a related company in a tax haven for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cost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plus an artificially small profit (thus shifting part of the profit out of the residence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). The 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 haven company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then on-sells the goods to the subsidiary in the source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at an inflated price that leaves little profit to that subsidiary and most of the profit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with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tax haven company. Similarly, in the thin capitalization case, the parent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company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may invest in a tax haven company by way of share capital (equity), and that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company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then lends to the subsidiary. Interest paid to the tax haven company will not be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the tax haven. In each case where the country of the parent company is an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exemption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country, the tax haven subsidiary may be able to pay a dividend tax free to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parent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so that the profits end up with the parent company having suffered very little tax.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If the residence country of the parent company is a foreign tax credit country, the profits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often be retained in the tax haven company and used for group operations in other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without attracting tax in the parent’s residence. Again, the overall result 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payment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little or no tax in the source or residence country.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Given that both the residence and source countries are suffering from this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haven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activity, action can be expected from both. The source country may deny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deductions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for payments by resident companies or by branches of nonresident companies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tax havens or may permit deductions subject to special conditions.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 xml:space="preserve">139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A rule of this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kind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has a number of problems. It is necessary to have a list of countries that are treated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tax havens, and, although such lists are readily available, they need frequent updating.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rule reintroduces the problem of the back-to-back transaction, in that the tax-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havenrelated</w:t>
      </w:r>
      <w:proofErr w:type="spellEnd"/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company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the thin capitalization case above can, for example, route the loan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through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 bank in a country that is not a tax haven. Such a rule may also affect quite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legitimate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payments to tax havens (which in a number of cases are major financial 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trading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centers in their own right). Finally, if a tax treaty is in force with the tax haven,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rule may fall foul of the nondiscrimination provision in the treaty (obviously, great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care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is needed in negotiating a tax treaty with a tax haven).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Nevertheless, a rule focusing on payments to tax havens should be considered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some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form, for example, a tax clearance system for payments that, to the knowledge of</w:t>
      </w:r>
    </w:p>
    <w:p w:rsidR="00D7307E" w:rsidRDefault="00D7307E" w:rsidP="00D7307E">
      <w:pPr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payer, are made directly or indirectly to tax haven entities.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Another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possibility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require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all companies and branches in the country to report selected information on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transactions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with tax havens or more broadly on international transactions.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>140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</w:pPr>
      <w:r w:rsidRPr="00D7307E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  <w:t>5. Double-Dipping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Alternative techniques for reducing source and residence taxation that have been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used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recent times seek to double up on favorable tax rules in both source and residence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(generally referred to as double-dipping). A variety of methods are used.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One method is to exploit differences in the tax law treatments of the same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transaction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the source and residence countries. A common example has been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financial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lease of equipment. Some countries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recharacterize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finance leases for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purposes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as purchases and loans, while other countries treat them in the same way as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operating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leases (i.e., the lessee is treated as paying rent and the lessor as being the owner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equipment).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 xml:space="preserve">141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result is that two countries can end up treating two separate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taxpayers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(one country the lessor and the other country the lessee) as the owner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equipment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and entitled to depreciation and interest deductions. Given that rent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economic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terms is equivalent to depreciation and interest, the difference in treatment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should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not produce a substantial tax variance, but many countries have tax incentives for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investment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capital equipment in the form of accelerated depreciation, investment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credits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or allowances. Where two different taxpayers are treated as the owner of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equipment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different countries and each is entitled to these incentives in one of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the taxpayers effectively double up on the incentives in a way not intended by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either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country.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It is not clear, however, which country is being disadvantaged in tax terms 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which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might therefore be expected to take remedial action. One of the affected countries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could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enact a rule that investment incentives will not be available under its law when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similar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incentives are being obtained in respect of the equipment under the law of another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but the rule will lead to circularity if both countries adopt it. Alternatively, 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may limit investment incentives to equipment used in the country, which will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work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most cases, although not for mobile equipment like airplanes. Another solution 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for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each country to do away with or reduce the investment incentives, as in fact happened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many industrial countries during the 1980s (for more general policy reasons having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little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do with the problems of international tax avoidance). Where a developing 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transition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country adopts this kind of investment incentive, a rule limiting the benefit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incentive to equipment used in the country is probably the easiest way to ensure that it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does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not suffer unduly from double-dipping of this form.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13"/>
          <w:szCs w:val="13"/>
          <w:lang w:val="en-US"/>
        </w:rPr>
        <w:t>140</w:t>
      </w:r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For example, </w:t>
      </w:r>
      <w:proofErr w:type="spell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sched</w:t>
      </w:r>
      <w:proofErr w:type="spell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.</w:t>
      </w:r>
      <w:proofErr w:type="gram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25A to the Company Income Tax Return in Australia requires extensive reporting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information</w:t>
      </w:r>
      <w:proofErr w:type="gram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on international transactions, and a number of countries have special powers for collecting</w:t>
      </w:r>
    </w:p>
    <w:p w:rsidR="00D7307E" w:rsidRDefault="00D7307E" w:rsidP="00D7307E">
      <w:pPr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information</w:t>
      </w:r>
      <w:proofErr w:type="gram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from foreign persons, AUS ITAA § 264A; USA IRC § 982.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Another form of double-dipping that has been much exploited involves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dualresidence</w:t>
      </w:r>
      <w:proofErr w:type="spellEnd"/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companies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Some countries permit grouping of the income and losses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commonly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owned resident companies (often achieved by permitting the transfer of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losses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related companies). If the same company is resident in two such countries 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has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borrowed to finance group operations (whether in those countries or elsewhere), it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may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be able to deduct the interest in each country. If it has little or no current income, 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loss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will arise from the interest deductions that may be able to offset the income of two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related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companies, one in each country where the loss company is resident. Again, it 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not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clear which country is the loser from this transaction. Nevertheless, a number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have enacted rules that prevent the losses of dual-residence companies arising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from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financing transactions being used to offset the income of any other related company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country; that is, the losses can be used only to offset future income of the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dualresidence</w:t>
      </w:r>
      <w:proofErr w:type="spellEnd"/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company.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>142</w:t>
      </w:r>
      <w:proofErr w:type="gramEnd"/>
      <w:r w:rsidRPr="00D7307E">
        <w:rPr>
          <w:rFonts w:ascii="TimesNewRomanPSMT" w:hAnsi="TimesNewRomanPSMT" w:cs="TimesNewRomanPSMT"/>
          <w:sz w:val="16"/>
          <w:szCs w:val="16"/>
          <w:lang w:val="en-US"/>
        </w:rPr>
        <w:t xml:space="preserve">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If a developing or transition country does not permit the transfer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losses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within a group of companies, it is unlikely to suffer from this particular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doubledipping</w:t>
      </w:r>
      <w:proofErr w:type="spellEnd"/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problem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It follows that care should be exercised in permitting transfer 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consolidation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losses for tax purposes among commonly owned resident companies.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deduction of the same expense in two countries is not of itself a cause for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concern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Where a resident of a foreign tax credit country has a branch in another country,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will typically get deductions for the same expenses in the source and residence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These deductions will generally be offset, however, against the same income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that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each country is taxing, with the residence country giving double tax relief.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double-dipping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problem usually involves the offsetting of the same deductions against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different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income of different taxpayers. As there are probably as many ways for taxpayers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exploit differences in tax systems of different countries as there are differences, and as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outcome is often ambiguous in terms of whether tax avoidance is involved and which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is suffering an unfair reduction in tax, it is likely that double-dipping will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continue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be a difficult international tax problem without a clear solution.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</w:pPr>
      <w:r w:rsidRPr="00D7307E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  <w:t>6. Treaty Shopping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 treaties themselves may become the object of tax avoidance activities, even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though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they often express the purpose of preventing tax avoidance. This possibility was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course never intended by the original framers of model tax treaties and is not in itself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sufficient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reason for a country to reject the negotiation of tax treaties as their benefits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usually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outweigh the detriments. The possibility of abuse arises from two features of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treaty network—its incomplete coverage of the world and its bilateral structure.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former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feature flows from the latter because it is not possible to negotiate with virtually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all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the countries of the world at once (as contrasted, say, to the Uruguay Round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multilateral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trade negotiations of the General Agreement on Tariffs and Trade); the latter</w:t>
      </w:r>
    </w:p>
    <w:p w:rsidR="00D7307E" w:rsidRDefault="00D7307E" w:rsidP="00D7307E">
      <w:pPr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regarded as flowing from the wide variations in tax systems around the world, so that it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felt necessary for each country to handcraft a tax treaty accommodation with other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one by one.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A resident of a country that does not have a tax treaty with a particular developing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or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transition country can simply incorporate a subsidiary in another country that does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(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usually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one with which the investor’s country also has a treaty) and route its investment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through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that subsidiary, which will be entitled to the reduced tax rates and other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protections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available under the treaty. Alternatively, a resident of a country with which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developing or transition country does have a treaty may seek what it regards as better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treatment under another tax treaty by the same route.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For example, the treaty between the investor’s country and country </w:t>
      </w:r>
      <w:r w:rsidRPr="00D7307E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 xml:space="preserve">X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may have 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10 percent rate limit on royalty payments. If that investor can find another country that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has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 tax treaty with country </w:t>
      </w:r>
      <w:r w:rsidRPr="00D7307E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 xml:space="preserve">X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that contains a zero tax rate on royalties, then it will be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possible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route a licensing transaction through a subsidiary in that country and eliminate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source country royalty tax; if that third country in turn has a treaty with the investor’s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containing a zero tax rate on royalties, it will be possible in turn to pay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royalty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on to the investor without tax in that country. These examples assume that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royalties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are deductible in each country by the person who is paying them.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nondiscrimination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article of tax treaties will normally ensure that they are deductible on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same basis as royalties paid domestically, so that the assumption will be correct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most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cases.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This kind of practice is known as “treaty shopping.” A country can prevent treaty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shopping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by seeking to ensure that its treaties with other countries are uniform in their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main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elements, especially the tax rate limits on interest and royalties and the definition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permanent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establishment. If all treaties to which country </w:t>
      </w:r>
      <w:r w:rsidRPr="00D7307E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 xml:space="preserve">X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is a party have a 10 percent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limit on royalties, for example, the planning in the second example in the previous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spellStart"/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para</w:t>
      </w:r>
      <w:proofErr w:type="spellEnd"/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. 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would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not be possible. Many countries have been able to achieve this consistency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their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treaty negotiations and have thereby reduced the problems of treaty shopping.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Nonetheless, the possibility remains that residents of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nontreaty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countries will get treaty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benefits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through related companies in treaty countries.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One way to deal with the problem is to insert a general provision in tax treaties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denying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treaty benefits in such cases. The United States is the only country to practice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this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approach in a comprehensive way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 xml:space="preserve">143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although some other countries routinely insert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more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limited treaty abuse provisions in specific articles of treaties.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 xml:space="preserve">144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Commentary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article 1 of the OECD Model contains a number of possible provisions for this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purpose.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>145</w:t>
      </w:r>
      <w:proofErr w:type="gramEnd"/>
      <w:r w:rsidRPr="00D7307E">
        <w:rPr>
          <w:rFonts w:ascii="TimesNewRomanPSMT" w:hAnsi="TimesNewRomanPSMT" w:cs="TimesNewRomanPSMT"/>
          <w:sz w:val="16"/>
          <w:szCs w:val="16"/>
          <w:lang w:val="en-US"/>
        </w:rPr>
        <w:t xml:space="preserve"> </w:t>
      </w:r>
      <w:r w:rsidRPr="00D7307E">
        <w:rPr>
          <w:rFonts w:ascii="TimesNewRomanPSMT" w:hAnsi="TimesNewRomanPSMT" w:cs="TimesNewRomanPSMT"/>
          <w:sz w:val="24"/>
          <w:szCs w:val="24"/>
          <w:lang w:val="en-US"/>
        </w:rPr>
        <w:t>Developing and transition countries may instead prefer to rely on general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13"/>
          <w:szCs w:val="13"/>
          <w:lang w:val="en-US"/>
        </w:rPr>
        <w:t>143</w:t>
      </w:r>
      <w:r w:rsidRPr="00D7307E">
        <w:rPr>
          <w:rFonts w:ascii="TimesNewRomanPSMT" w:hAnsi="TimesNewRomanPSMT" w:cs="TimesNewRomanPSMT"/>
          <w:sz w:val="20"/>
          <w:szCs w:val="20"/>
          <w:lang w:val="en-US"/>
        </w:rPr>
        <w:t>See U.S. Model Income Tax Convention of Sept. 20, 1996, art.</w:t>
      </w:r>
      <w:proofErr w:type="gram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</w:t>
      </w:r>
      <w:proofErr w:type="gram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22, Limitation of Benefits.</w:t>
      </w:r>
      <w:proofErr w:type="gramEnd"/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7307E">
        <w:rPr>
          <w:rFonts w:ascii="TimesNewRomanPSMT" w:hAnsi="TimesNewRomanPSMT" w:cs="TimesNewRomanPSMT"/>
          <w:sz w:val="13"/>
          <w:szCs w:val="13"/>
          <w:lang w:val="en-US"/>
        </w:rPr>
        <w:t>144</w:t>
      </w:r>
      <w:r w:rsidRPr="00D7307E">
        <w:rPr>
          <w:rFonts w:ascii="TimesNewRomanPSMT" w:hAnsi="TimesNewRomanPSMT" w:cs="TimesNewRomanPSMT"/>
          <w:sz w:val="20"/>
          <w:szCs w:val="20"/>
          <w:lang w:val="en-US"/>
        </w:rPr>
        <w:t>The United Kingdom includes special rules in the interest and royalty articles; the beneficial owner rule</w:t>
      </w:r>
    </w:p>
    <w:p w:rsidR="00D7307E" w:rsidRDefault="00D7307E" w:rsidP="00D7307E">
      <w:pPr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in</w:t>
      </w:r>
      <w:proofErr w:type="gram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arts. 10–12 of the OECD Model also limits treaty shopping.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spellStart"/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antiavoidance</w:t>
      </w:r>
      <w:proofErr w:type="spellEnd"/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provisions in domestic legislation to deal with treaty abuse. While a view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developing that such provisions are not inconsistent with tax treaties, it is probably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safer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spell out in the negotiations that the general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antiavoidance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provision of domestic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law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will be applied to treaty abuses and to ensure that the general priority rule for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treaties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domestic law makes this relationship clear.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>146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</w:pPr>
      <w:r w:rsidRPr="00D7307E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  <w:t>7. Combinations of Tax Avoidance Techniques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International tax avoidance in many cases will utilize a combination of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techniques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outlined above. Thus, treaty shopping activities will often go hand in hand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with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use of tax havens and the interaction of tax treaties and domestic law. For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example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and by way of extension of the case of treaty shopping in the royalties area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discussed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above, some countries do not in their domestic law charge withholding tax on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payments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royalties by residents to nonresidents for reasons that have been discussed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earlier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If such a country has a treaty with a developing or transition country containing 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zero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royalty rate, a nonresident investor can incorporate a company there to receive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royalties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from the developing or transition country and then arrange to have the royalties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paid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a tax haven company. If the royalties paid to this company equal the royalties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received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by the company in the tax treaty country, no tax will be collected in that country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because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deduction for the royalties paid will wipe out the royalty income received and</w:t>
      </w:r>
    </w:p>
    <w:p w:rsid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withholding tax will be levied on the outgoing royalties.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Hence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the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result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will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be</w:t>
      </w:r>
      <w:proofErr w:type="spellEnd"/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achieved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no tax at all being levied on the royalties (unless the residence country of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ultimate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owner of the tax haven company has a controlled foreign company regime of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kind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discussed below).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financing of company groups often involves variations on double-dipping,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treaty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shopping, and tax haven use. For example, a parent company may borrow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finance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investment by way of share capital in a tax haven finance subsidiary, which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turn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lends to an operating subsidiary in a developing or transition country through a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backto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-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back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transaction with a bank in a country that has a tax treaty with the developing 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transition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country, lowering the rate of withholding tax on outgoing interest. If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residence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country of the parent is an exemption country but nonetheless permits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deduction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the interest paid on the loan taken out to finance the investment in the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haven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subsidiary, it is likely that the dividends received from the tax haven subsidiary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(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representing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interest received by that subsidiary) will be exempt in the parent’s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residence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country, and yet interest deductions may have been obtained in two countries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(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that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the parent and the operating subsidiary) for offset against different income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different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taxpayers.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Because of the sophistication of international tax planning and 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frequent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combination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domestic law, tax havens, and tax treaties, the taxation of nonresident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direct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investors by developing and transition countries is not an easy task. An array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provisions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domestic legislation (such as provisions on transfer pricing, thin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7307E">
        <w:rPr>
          <w:rFonts w:ascii="TimesNewRomanPSMT" w:hAnsi="TimesNewRomanPSMT" w:cs="TimesNewRomanPSMT"/>
          <w:sz w:val="13"/>
          <w:szCs w:val="13"/>
          <w:lang w:val="en-US"/>
        </w:rPr>
        <w:t>146</w:t>
      </w:r>
      <w:r w:rsidRPr="00D7307E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 xml:space="preserve">See supra </w:t>
      </w:r>
      <w:r w:rsidRPr="00D7307E">
        <w:rPr>
          <w:rFonts w:ascii="TimesNewRomanPSMT" w:hAnsi="TimesNewRomanPSMT" w:cs="TimesNewRomanPSMT"/>
          <w:sz w:val="20"/>
          <w:szCs w:val="20"/>
          <w:lang w:val="en-US"/>
        </w:rPr>
        <w:t>note 95; Australia makes this relationship clear in International Tax Agreements Act 1953</w:t>
      </w:r>
    </w:p>
    <w:p w:rsidR="00D7307E" w:rsidRDefault="00D7307E" w:rsidP="00D7307E">
      <w:pPr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0"/>
          <w:szCs w:val="20"/>
          <w:lang w:val="en-US"/>
        </w:rPr>
        <w:t>s</w:t>
      </w:r>
      <w:proofErr w:type="gramEnd"/>
      <w:r w:rsidRPr="00D7307E">
        <w:rPr>
          <w:rFonts w:ascii="TimesNewRomanPSMT" w:hAnsi="TimesNewRomanPSMT" w:cs="TimesNewRomanPSMT"/>
          <w:sz w:val="20"/>
          <w:szCs w:val="20"/>
          <w:lang w:val="en-US"/>
        </w:rPr>
        <w:t xml:space="preserve"> 4(2). </w:t>
      </w:r>
      <w:r w:rsidRPr="00D7307E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 xml:space="preserve">See also </w:t>
      </w:r>
      <w:r w:rsidRPr="00D7307E">
        <w:rPr>
          <w:rFonts w:ascii="TimesNewRomanPSMT" w:hAnsi="TimesNewRomanPSMT" w:cs="TimesNewRomanPSMT"/>
          <w:sz w:val="20"/>
          <w:szCs w:val="20"/>
          <w:lang w:val="en-US"/>
        </w:rPr>
        <w:t>GEO TC § 4(8), (9).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capitalization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and tax haven payments, and a general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antiavoidance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rule) and great care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negotiation of tax treaties will assist in dealing with the differing kinds of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planning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A developing or transition country should make clear through explanatory 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administrative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material that it does not intend to use (the threat of) multiple taxation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penalize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taxpayers. If it is felt that the problems of international tax avoidance justify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severer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penalties than normal, then the tax penalty regime should provide for this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directly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Similarly, if higher levels of disclosure of information are required in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international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area, the legislation should provide for such disclosure explicitly. Care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drafting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such provisions is necessary to ensure that they are not in breach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nondiscrimination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provisions in tax treaties. For this reason as well as the considerations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raised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relation to residents below, the provisions should apply to both inward 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outward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investment cases.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Stricter enforcement regimes may be viewed adversely by foreign investors 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temper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their willingness to invest in the country in question. Each developing 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transition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country has to judge this issue for itself. The same reluctance may also be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triggered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by legislation directed at international tax avoidance practices. One possible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response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(effectively giving in to the difficulties of enforcing international tax rules) is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not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include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antiavoidance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provisions of the kinds outlined above in domestic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legislation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and so to allow nonresident direct investors to determine their tax level for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themselves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Alternatively, such provisions can be coupled with special tax regimes for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foreign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investors conferring tax holidays and other tax privileges on them in specified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cases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. The alternative approach nominally gives control over the targeting of the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benefits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for foreign investors to the developing or transition country, although in practice,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noted in chapter 23, it generally leads to other forms of tax avoidance.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</w:pPr>
      <w:r w:rsidRPr="00D7307E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  <w:t>8. Nonresident Portfolio Investors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position of nonresident portfolio investors differs substantially from that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direct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investors. Because direct investors have control over the transactions undertaken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within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company group, they can engage in transfer pricing, thin capitalization, and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like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ways not generally available to the portfolio investor. It is possible for portfolio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investors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employ tax havens and treaty shopping in some of their activities (e.g., using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treaties to obtain lower withholding tax rates on interest), but generally the scale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investment in a particular company by a particular investor is unlikely to justify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elaborate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tax avoidance of the kind that may be practiced by direct investors.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tax planning of the portfolio investor is likely to consist of portfolio choice.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For example, purchasing shares in a company resident in a developing or transition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exposes the investor to the corporate tax and the withholding tax on portfolio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dividends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which is probably higher than the tax on dividends paid on direct investment.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Some portfolio investors (e.g., tax-exempt pension funds) will be tax privileged in their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residence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countries and so may not benefit greatly from double tax relief in this case.</w:t>
      </w:r>
    </w:p>
    <w:p w:rsidR="00D7307E" w:rsidRDefault="00D7307E" w:rsidP="00D7307E">
      <w:pPr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Failing special provisions in the law of the source or residence country (or both, possibly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through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 tax treaty) to deal with the international implications of its special tax position,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portfolio investor may adopt a different investment strategy, such as investing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(profit-related) debt of the company resident in the source country and options over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unissued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capital of the company. In this way, it benefits from increases in the value of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company’s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shares and a share in its income stream without being exposed to much if any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the source country (interest withholding tax probably being the only tax applicable)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while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enjoying its tax privileges in the residence country. With the advent of modern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financial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instruments, more sophisticated strategies are available to the portfolio investor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who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wishes to be exposed to a particular market or company without the accompanying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source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tax liabilities.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Often, the influence of the portfolio investor will be felt not directly but indirectly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source country through the foreign direct investor responding to the needs of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portfolio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investor. Since portfolio investment opportunities are often limited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developing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and transition countries (because of the lack of a stock exchange or very thin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trading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whatever stock market exists), portfolio investors more often than not will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invest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the multinational direct investors operating in the countries (and many other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countries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) as a way of exposing themselves to investment in many countries and at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same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time minimizing risk by having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multicountry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coverage in the investment. As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totality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investment in many multinational companies will be dominated by institutional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portfolio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investors, such as pension schemes, banks, and insurers, the companies are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likely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adapt their tax profile to suit the institutional investors. If the preference of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institutional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investors is to have low taxed returns because of their privileged tax position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their residence countries, the optimal tax strategy for the multinational company may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reduce its tax liabilities in all countries, which takes us back to the beginning of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discussion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this section of the chapter.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Increasingly in recent times, international investment has developed 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many tax</w:t>
      </w:r>
      <w:proofErr w:type="gramEnd"/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niches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with offshore funds offering specialized investment products designed to appeal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particular kinds of investors. The discussion of capital flight above dealt with one kind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such fund in the case of resident portfolio investors. Here, the discussion concerns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similar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funds designed for nonresident portfolio investors. To the extent that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multinationals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do not respond to the tax situations of their different classes of portfolio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investor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it is often possible to find a fund that consolidates portfolio investors with 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similar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tax and investment profile and develops investment products that suit that profile.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While it often may not be worthwhile for a single portfolio investor to use treaty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shopping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and tax havens for its operations, it is for such offshore funds. Hence, the other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major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effect of portfolio investors in developing and transition countries is being felt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through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operations of such funds (with many specializing in investment in (particular)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developing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or transition countries). To the extent that this investment is highly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sensitive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there is little that a developing or transition country can do to prevent offshore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fund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tax planning in which the nonresident portfolio investor decides to invest in 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particular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fund or to withdraw from the fund.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major problem that the nonresident portfolio investor poses is the potentially</w:t>
      </w:r>
    </w:p>
    <w:p w:rsidR="00D7307E" w:rsidRDefault="00D7307E" w:rsidP="00D7307E">
      <w:pPr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deleterious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incentives that the investor’s tax position creates for direct investors to reduce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source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country taxation. Hence, additional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antiavoidance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provisions are not necessary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law to deal with the tax position of the portfolio investor beyond what has been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canvassed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earlier discussion. If the source country specifically wants to cater for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problems faced by foreign pension funds and the like, some suggestions have already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been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made.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</w:pPr>
      <w:r w:rsidRPr="00D7307E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  <w:t>9. Resident Investors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Although developing and transition countries will most often encounter the </w:t>
      </w: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forms</w:t>
      </w:r>
      <w:proofErr w:type="gramEnd"/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of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tax avoidance outlined above in the case of nonresident direct investors, many of them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are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equally available to residents of the developing or transition country (resident in the</w:t>
      </w:r>
    </w:p>
    <w:p w:rsid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sense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that the ultimate investor is a resident of the country and is not foreign owned).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is</w:t>
      </w:r>
      <w:proofErr w:type="spellEnd"/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necessary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this case to distinguish two investment situations, first, where the ultimate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investment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is made by the resident overseas and, second, where the ultimate investment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made in the developing or transition country itself.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 first case is the more obvious but less frequent in practice from the point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view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of the developing or transition country. A resident engaging in direct investment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overseas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can engage in transfer pricing and the other kinds of activities outlined above for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dual purpose of reducing the tax in the country of source (where the investment is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made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) and in the country of residence. Avoidance of resident country tax will often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involve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diversion of income from the country of residence to tax havens, combined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with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manipulation of the system of double taxation relief. Avoidance of source country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these kinds of cases is not directly the concern of the residence country, its main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concern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being to protect its own taxing rights. The mechanism to control tax haven use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by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residents that is increasingly being used in advanced market economies is to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residents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on their share of low-taxed foreign income derived by nonresident companies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controlled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by the residents. These “controlled foreign company” regimes are usually very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complex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operation.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>147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As regards the second case, initially it seems unlikely that a resident of 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developing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or transition country would get involved in international tax avoidance for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investment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that country. In fact, however, a resident direct investor can easily appear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 nonresident direct investor by channeling investment into the country through a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nonresident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company that the resident owns. By this means, the possibilities of reducing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tax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the country by transfer pricing, thin capitalization, tax havens, and treaty shopping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become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possible in a similar way as for true nonresident direct investors. In addition,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resident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can also by this route seek to enjoy any tax concessions given specifically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nonresident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investors.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This possibility of residents assuming the guise of nonresidents is closely linked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to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capital flight issue canvassed earlier, at least in transition countries. Capital flight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7307E">
        <w:rPr>
          <w:rFonts w:ascii="TimesNewRomanPSMT" w:hAnsi="TimesNewRomanPSMT" w:cs="TimesNewRomanPSMT"/>
          <w:sz w:val="13"/>
          <w:szCs w:val="13"/>
          <w:lang w:val="en-US"/>
        </w:rPr>
        <w:t>147</w:t>
      </w:r>
      <w:r w:rsidRPr="00D7307E">
        <w:rPr>
          <w:rFonts w:ascii="TimesNewRomanPSMT" w:hAnsi="TimesNewRomanPSMT" w:cs="TimesNewRomanPSMT"/>
          <w:sz w:val="20"/>
          <w:szCs w:val="20"/>
          <w:lang w:val="en-US"/>
        </w:rPr>
        <w:t>The seminal comparative work on these regimes is Brian Arnold, The Taxation of Controlled Foreign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7307E">
        <w:rPr>
          <w:rFonts w:ascii="TimesNewRomanPSMT" w:hAnsi="TimesNewRomanPSMT" w:cs="TimesNewRomanPSMT"/>
          <w:sz w:val="20"/>
          <w:szCs w:val="20"/>
          <w:lang w:val="en-US"/>
        </w:rPr>
        <w:t>Corporations: An International Comparison (1986); for a more recent summary of current practice, see</w:t>
      </w:r>
    </w:p>
    <w:p w:rsidR="00D7307E" w:rsidRDefault="00D7307E" w:rsidP="00D7307E">
      <w:pPr>
        <w:rPr>
          <w:rFonts w:ascii="TimesNewRomanPSMT" w:hAnsi="TimesNewRomanPSMT" w:cs="TimesNewRomanPSMT"/>
          <w:sz w:val="20"/>
          <w:szCs w:val="20"/>
          <w:lang w:val="en-US"/>
        </w:rPr>
      </w:pPr>
      <w:r w:rsidRPr="00D7307E">
        <w:rPr>
          <w:rFonts w:ascii="TimesNewRomanPSMT" w:hAnsi="TimesNewRomanPSMT" w:cs="TimesNewRomanPSMT"/>
          <w:sz w:val="20"/>
          <w:szCs w:val="20"/>
          <w:lang w:val="en-US"/>
        </w:rPr>
        <w:t>OECD, Controlled Foreign Company Legislation (1996).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was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the first reaction of many wealthy people there to the uncertainty and instability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created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by the transition. As the situation has clarified to the extent that it is possible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conduct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profitable business operations in the countries, it seems likely that a number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these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people have reintroduced their capital into businesses as disguised foreign direct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investment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. While the capital is thus </w:t>
      </w:r>
      <w:proofErr w:type="spell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reexposed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to the risks that it was originally fleeing,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ownership of the capital is usually hidden (as it often originates in tax havens), tax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concessions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may be available, and further flight remains possible to the extent that the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capital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remains mobile. There is some evidence that much of this capital is invested in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import-export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and similar activities that do not anchor the capital in the same way as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investing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in large-scale plant and equipment would.</w:t>
      </w:r>
      <w:r w:rsidRPr="00D7307E">
        <w:rPr>
          <w:rFonts w:ascii="TimesNewRomanPSMT" w:hAnsi="TimesNewRomanPSMT" w:cs="TimesNewRomanPSMT"/>
          <w:sz w:val="16"/>
          <w:szCs w:val="16"/>
          <w:lang w:val="en-US"/>
        </w:rPr>
        <w:t>148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D7307E">
        <w:rPr>
          <w:rFonts w:ascii="TimesNewRomanPSMT" w:hAnsi="TimesNewRomanPSMT" w:cs="TimesNewRomanPSMT"/>
          <w:sz w:val="24"/>
          <w:szCs w:val="24"/>
          <w:lang w:val="en-US"/>
        </w:rPr>
        <w:t>For both kinds of tax avoidance by residents, the provisions discussed above—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such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as rules on transfer pricing, thin capitalization, tax havens, and general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spellStart"/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antiavoidance</w:t>
      </w:r>
      <w:proofErr w:type="spell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—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are available to deal with some of the problems. It was partly because of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the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need to control circular transactions of residents taking capital offshore and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reintroducing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it into the country that it has been suggested that many of the rules should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not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be directed to nonresidents. Eventually, controlled foreign company regimes will be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needed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, despite the difficulties that they entail. For the time being, the embryonic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measure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that has been outlined above for the capital flight case can at least be adopted to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signal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that a developing or transition country is aware of the international tax avoidance</w:t>
      </w:r>
    </w:p>
    <w:p w:rsidR="00D7307E" w:rsidRPr="00D7307E" w:rsidRDefault="00D7307E" w:rsidP="00D7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gramStart"/>
      <w:r w:rsidRPr="00D7307E">
        <w:rPr>
          <w:rFonts w:ascii="TimesNewRomanPSMT" w:hAnsi="TimesNewRomanPSMT" w:cs="TimesNewRomanPSMT"/>
          <w:sz w:val="24"/>
          <w:szCs w:val="24"/>
          <w:lang w:val="en-US"/>
        </w:rPr>
        <w:t>techniques</w:t>
      </w:r>
      <w:proofErr w:type="gramEnd"/>
      <w:r w:rsidRPr="00D7307E">
        <w:rPr>
          <w:rFonts w:ascii="TimesNewRomanPSMT" w:hAnsi="TimesNewRomanPSMT" w:cs="TimesNewRomanPSMT"/>
          <w:sz w:val="24"/>
          <w:szCs w:val="24"/>
          <w:lang w:val="en-US"/>
        </w:rPr>
        <w:t xml:space="preserve"> that residents may use and proposes to combat them.</w:t>
      </w:r>
    </w:p>
    <w:p w:rsidR="00D7307E" w:rsidRPr="00D7307E" w:rsidRDefault="00D7307E" w:rsidP="00D7307E">
      <w:pPr>
        <w:rPr>
          <w:rFonts w:cs="TimesNewRomanPSMT"/>
          <w:sz w:val="24"/>
          <w:szCs w:val="24"/>
          <w:lang w:val="en-US"/>
        </w:rPr>
      </w:pPr>
    </w:p>
    <w:p w:rsidR="00D7307E" w:rsidRPr="00D7307E" w:rsidRDefault="00D7307E">
      <w:pPr>
        <w:rPr>
          <w:lang w:val="en-US"/>
        </w:rPr>
      </w:pPr>
    </w:p>
    <w:sectPr w:rsidR="00D7307E" w:rsidRPr="00D73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6F7"/>
    <w:rsid w:val="00115BDB"/>
    <w:rsid w:val="001B4814"/>
    <w:rsid w:val="004033FC"/>
    <w:rsid w:val="00D7307E"/>
    <w:rsid w:val="00F3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9640</Words>
  <Characters>54949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Raigul</dc:creator>
  <cp:keywords/>
  <dc:description/>
  <cp:lastModifiedBy>Raigul</cp:lastModifiedBy>
  <cp:revision>5</cp:revision>
  <dcterms:created xsi:type="dcterms:W3CDTF">2022-10-04T07:01:00Z</dcterms:created>
  <dcterms:modified xsi:type="dcterms:W3CDTF">2022-10-11T12:27:00Z</dcterms:modified>
</cp:coreProperties>
</file>